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A0AF" w14:textId="3EB1CEF2" w:rsidR="00791B71" w:rsidRDefault="711EDA21" w:rsidP="666836A9">
      <w:pPr>
        <w:spacing w:before="86" w:after="0" w:line="506" w:lineRule="auto"/>
        <w:ind w:left="100" w:right="6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E17B48" wp14:editId="54090B6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067050" cy="1381125"/>
            <wp:effectExtent l="0" t="0" r="0" b="0"/>
            <wp:wrapNone/>
            <wp:docPr id="1897847329" name="Picture 1897847329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B497A64" w:rsidRPr="7AD908EA">
        <w:rPr>
          <w:rFonts w:ascii="Times New Roman" w:eastAsia="Times New Roman" w:hAnsi="Times New Roman" w:cs="Times New Roman"/>
          <w:sz w:val="24"/>
          <w:szCs w:val="24"/>
        </w:rPr>
        <w:t>U</w:t>
      </w:r>
      <w:r w:rsidRPr="7AD908EA">
        <w:rPr>
          <w:rFonts w:ascii="Times New Roman" w:eastAsia="Times New Roman" w:hAnsi="Times New Roman" w:cs="Times New Roman"/>
          <w:sz w:val="24"/>
          <w:szCs w:val="24"/>
        </w:rPr>
        <w:t>niversity of</w:t>
      </w:r>
      <w:r w:rsidR="435D8590" w:rsidRPr="7AD90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AD908EA">
        <w:rPr>
          <w:rFonts w:ascii="Times New Roman" w:eastAsia="Times New Roman" w:hAnsi="Times New Roman" w:cs="Times New Roman"/>
          <w:sz w:val="24"/>
          <w:szCs w:val="24"/>
        </w:rPr>
        <w:t>Kentucky</w:t>
      </w:r>
      <w:r w:rsidR="4986A084" w:rsidRPr="7AD90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643572" w14:textId="45A58711" w:rsidR="00791B71" w:rsidRDefault="711EDA21" w:rsidP="54090B69">
      <w:pPr>
        <w:spacing w:after="0" w:line="506" w:lineRule="auto"/>
        <w:ind w:left="100" w:right="5065"/>
        <w:rPr>
          <w:rFonts w:ascii="Times New Roman" w:eastAsia="Times New Roman" w:hAnsi="Times New Roman" w:cs="Times New Roman"/>
          <w:sz w:val="24"/>
          <w:szCs w:val="24"/>
        </w:rPr>
      </w:pPr>
      <w:r w:rsidRPr="39B59AA3">
        <w:rPr>
          <w:rFonts w:ascii="Times New Roman" w:eastAsia="Times New Roman" w:hAnsi="Times New Roman" w:cs="Times New Roman"/>
          <w:sz w:val="24"/>
          <w:szCs w:val="24"/>
        </w:rPr>
        <w:t>Gatton College of Business and Economics Institute for the Study of Free Enterprise</w:t>
      </w:r>
    </w:p>
    <w:p w14:paraId="1213396A" w14:textId="756A631D" w:rsidR="00791B71" w:rsidRDefault="00791B71" w:rsidP="54090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84531D" w14:textId="365A6D9C" w:rsidR="00791B71" w:rsidRDefault="00791B71" w:rsidP="54090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BD1074" w14:textId="3B2714D1" w:rsidR="36267595" w:rsidRDefault="36267595" w:rsidP="7AD908EA">
      <w:pPr>
        <w:pStyle w:val="Title"/>
        <w:spacing w:before="261"/>
        <w:ind w:left="53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7AD908E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Study</w:t>
      </w:r>
      <w:r w:rsidR="004650D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identifies effects of taxation on tobacco products among young adu</w:t>
      </w:r>
      <w:r w:rsidR="00DC548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lts</w:t>
      </w:r>
    </w:p>
    <w:p w14:paraId="26ABAC78" w14:textId="685A0794" w:rsidR="00791B71" w:rsidRDefault="00791B71" w:rsidP="54090B69">
      <w:pPr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4DF89B" w14:textId="3EF48701" w:rsidR="00892DF1" w:rsidRPr="00AF2C86" w:rsidRDefault="00AF2C86" w:rsidP="0069722B">
      <w:pPr>
        <w:pStyle w:val="ListParagraph"/>
        <w:numPr>
          <w:ilvl w:val="0"/>
          <w:numId w:val="1"/>
        </w:numPr>
        <w:spacing w:before="117" w:after="0" w:line="367" w:lineRule="auto"/>
        <w:ind w:left="820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Increased taxation of </w:t>
      </w:r>
      <w:r w:rsidR="007A4676">
        <w:rPr>
          <w:rFonts w:ascii="Times New Roman" w:eastAsia="Times New Roman" w:hAnsi="Times New Roman" w:cs="Times New Roman"/>
          <w:b/>
          <w:bCs/>
          <w:sz w:val="24"/>
          <w:szCs w:val="24"/>
        </w:rPr>
        <w:t>electronic nicotine delivery systems (such as vape pens and e-cigarettes) leads to a reduction in their use but an increase in use of traditional tobacco products</w:t>
      </w:r>
    </w:p>
    <w:p w14:paraId="390DA599" w14:textId="3DF6BBCD" w:rsidR="007A4676" w:rsidRPr="007A4676" w:rsidRDefault="007A4676" w:rsidP="007A4676">
      <w:pPr>
        <w:pStyle w:val="ListParagraph"/>
        <w:numPr>
          <w:ilvl w:val="0"/>
          <w:numId w:val="1"/>
        </w:numPr>
        <w:spacing w:before="117" w:after="0" w:line="367" w:lineRule="auto"/>
        <w:ind w:left="820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Prior research tends to either focus on youths or adults, but fails to analyze the impact of these policies on liminal age groups, such as young adults (18-25 year</w:t>
      </w:r>
      <w:r w:rsidR="00DC548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1715F11" w14:textId="11C703C5" w:rsidR="007A4676" w:rsidRPr="007A4676" w:rsidRDefault="007A4676" w:rsidP="007A4676">
      <w:pPr>
        <w:pStyle w:val="ListParagraph"/>
        <w:numPr>
          <w:ilvl w:val="0"/>
          <w:numId w:val="1"/>
        </w:numPr>
        <w:spacing w:before="117" w:after="0" w:line="367" w:lineRule="auto"/>
        <w:ind w:left="820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Tax polic</w:t>
      </w:r>
      <w:r w:rsidR="00DC548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must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take into account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dual but conflicting goals of harm reduction among adult users, and use prevention among younger users to achieve public health aims</w:t>
      </w:r>
    </w:p>
    <w:p w14:paraId="1B6C6180" w14:textId="77777777" w:rsidR="002E61B7" w:rsidRDefault="002E61B7" w:rsidP="007A4676">
      <w:pPr>
        <w:spacing w:after="0" w:line="36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423CB" w14:textId="0247A0B6" w:rsidR="002E61B7" w:rsidRDefault="002E61B7" w:rsidP="002E61B7">
      <w:pPr>
        <w:spacing w:after="0" w:line="367" w:lineRule="auto"/>
        <w:ind w:left="100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r w:rsidR="00AF2C86">
        <w:rPr>
          <w:rFonts w:ascii="Times New Roman" w:eastAsia="Times New Roman" w:hAnsi="Times New Roman" w:cs="Times New Roman"/>
          <w:sz w:val="24"/>
          <w:szCs w:val="24"/>
        </w:rPr>
        <w:t xml:space="preserve">electronic nicotine delivery systems (ENDS) such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e-cigarettes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vap</w:t>
      </w:r>
      <w:r w:rsidR="00AF2C8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AF2C86">
        <w:rPr>
          <w:rFonts w:ascii="Times New Roman" w:eastAsia="Times New Roman" w:hAnsi="Times New Roman" w:cs="Times New Roman"/>
          <w:sz w:val="24"/>
          <w:szCs w:val="24"/>
        </w:rPr>
        <w:t xml:space="preserve"> pens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surged among young adults in the 2010s there has been widespread fear that it will induce nicotine dependence instead of promote harm reduction as initially intended. </w:t>
      </w:r>
      <w:proofErr w:type="gramStart"/>
      <w:r w:rsidR="00AF2C86">
        <w:rPr>
          <w:rFonts w:ascii="Times New Roman" w:eastAsia="Times New Roman" w:hAnsi="Times New Roman" w:cs="Times New Roman"/>
          <w:sz w:val="24"/>
          <w:szCs w:val="24"/>
        </w:rPr>
        <w:t>In particular, their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use among young adults (18-25) has not been</w:t>
      </w:r>
      <w:r w:rsidR="00AF2C86">
        <w:rPr>
          <w:rFonts w:ascii="Times New Roman" w:eastAsia="Times New Roman" w:hAnsi="Times New Roman" w:cs="Times New Roman"/>
          <w:sz w:val="24"/>
          <w:szCs w:val="24"/>
        </w:rPr>
        <w:t xml:space="preserve"> well </w:t>
      </w:r>
      <w:r>
        <w:rPr>
          <w:rFonts w:ascii="Times New Roman" w:eastAsia="Times New Roman" w:hAnsi="Times New Roman" w:cs="Times New Roman"/>
          <w:sz w:val="24"/>
          <w:szCs w:val="24"/>
        </w:rPr>
        <w:t>analyzed</w:t>
      </w:r>
      <w:r w:rsidR="00DC548B">
        <w:rPr>
          <w:rFonts w:ascii="Times New Roman" w:eastAsia="Times New Roman" w:hAnsi="Times New Roman" w:cs="Times New Roman"/>
          <w:sz w:val="24"/>
          <w:szCs w:val="24"/>
        </w:rPr>
        <w:t xml:space="preserve">. In many studies this 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 w:rsidR="00DC548B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often lumped in with older or younger users</w:t>
      </w:r>
      <w:r w:rsidR="00DC548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despite this being a distinct and critical period </w:t>
      </w:r>
      <w:r w:rsidR="00AF2C8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brain development, </w:t>
      </w:r>
      <w:r w:rsidR="00AF2C86">
        <w:rPr>
          <w:rFonts w:ascii="Times New Roman" w:eastAsia="Times New Roman" w:hAnsi="Times New Roman" w:cs="Times New Roman"/>
          <w:sz w:val="24"/>
          <w:szCs w:val="24"/>
        </w:rPr>
        <w:t xml:space="preserve">increased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engagement with risky behaviors, and a greater propensity for developing habitual tobacco and nicotine use. Associate Professor Abigail Friedman at the Yale School of Public Health and Associate Professor Michael Pesko </w:t>
      </w:r>
      <w:r w:rsidR="00AF2C86">
        <w:rPr>
          <w:rFonts w:ascii="Times New Roman" w:eastAsia="Times New Roman" w:hAnsi="Times New Roman" w:cs="Times New Roman"/>
          <w:sz w:val="24"/>
          <w:szCs w:val="24"/>
        </w:rPr>
        <w:t>at Georgia State University and the Institute of Labor Economics have recently published a paper to investigate the impact of taxes on these and traditional tobacco products on us</w:t>
      </w:r>
      <w:r w:rsidR="00DC548B">
        <w:rPr>
          <w:rFonts w:ascii="Times New Roman" w:eastAsia="Times New Roman" w:hAnsi="Times New Roman" w:cs="Times New Roman"/>
          <w:sz w:val="24"/>
          <w:szCs w:val="24"/>
        </w:rPr>
        <w:t>age</w:t>
      </w:r>
      <w:r w:rsidR="00AF2C86">
        <w:rPr>
          <w:rFonts w:ascii="Times New Roman" w:eastAsia="Times New Roman" w:hAnsi="Times New Roman" w:cs="Times New Roman"/>
          <w:sz w:val="24"/>
          <w:szCs w:val="24"/>
        </w:rPr>
        <w:t xml:space="preserve"> behaviors </w:t>
      </w:r>
      <w:r w:rsidR="00DC548B">
        <w:rPr>
          <w:rFonts w:ascii="Times New Roman" w:eastAsia="Times New Roman" w:hAnsi="Times New Roman" w:cs="Times New Roman"/>
          <w:sz w:val="24"/>
          <w:szCs w:val="24"/>
        </w:rPr>
        <w:t>among</w:t>
      </w:r>
      <w:r w:rsidR="00AF2C86">
        <w:rPr>
          <w:rFonts w:ascii="Times New Roman" w:eastAsia="Times New Roman" w:hAnsi="Times New Roman" w:cs="Times New Roman"/>
          <w:sz w:val="24"/>
          <w:szCs w:val="24"/>
        </w:rPr>
        <w:t xml:space="preserve"> this group with the help of grant funding from the Institute for the Study of Free Enterprise. </w:t>
      </w:r>
    </w:p>
    <w:p w14:paraId="4F21FD21" w14:textId="41A83346" w:rsidR="007A4676" w:rsidRDefault="007A4676" w:rsidP="002E61B7">
      <w:pPr>
        <w:spacing w:after="0" w:line="367" w:lineRule="auto"/>
        <w:ind w:left="100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pair studied the effect on cigarette and END</w:t>
      </w:r>
      <w:r w:rsidR="00687C4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taxes on </w:t>
      </w:r>
      <w:r w:rsidR="004650DB">
        <w:rPr>
          <w:rFonts w:ascii="Times New Roman" w:eastAsia="Times New Roman" w:hAnsi="Times New Roman" w:cs="Times New Roman"/>
          <w:sz w:val="24"/>
          <w:szCs w:val="24"/>
        </w:rPr>
        <w:t>us</w:t>
      </w:r>
      <w:r w:rsidR="004B2FF3">
        <w:rPr>
          <w:rFonts w:ascii="Times New Roman" w:eastAsia="Times New Roman" w:hAnsi="Times New Roman" w:cs="Times New Roman"/>
          <w:sz w:val="24"/>
          <w:szCs w:val="24"/>
        </w:rPr>
        <w:t>age</w:t>
      </w:r>
      <w:r w:rsidR="004650DB">
        <w:rPr>
          <w:rFonts w:ascii="Times New Roman" w:eastAsia="Times New Roman" w:hAnsi="Times New Roman" w:cs="Times New Roman"/>
          <w:sz w:val="24"/>
          <w:szCs w:val="24"/>
        </w:rPr>
        <w:t xml:space="preserve"> of both</w:t>
      </w:r>
      <w:r w:rsidR="004B2FF3">
        <w:rPr>
          <w:rFonts w:ascii="Times New Roman" w:eastAsia="Times New Roman" w:hAnsi="Times New Roman" w:cs="Times New Roman"/>
          <w:sz w:val="24"/>
          <w:szCs w:val="24"/>
        </w:rPr>
        <w:t xml:space="preserve"> types of nicotine</w:t>
      </w:r>
      <w:r w:rsidR="004650DB">
        <w:rPr>
          <w:rFonts w:ascii="Times New Roman" w:eastAsia="Times New Roman" w:hAnsi="Times New Roman" w:cs="Times New Roman"/>
          <w:sz w:val="24"/>
          <w:szCs w:val="24"/>
        </w:rPr>
        <w:t xml:space="preserve"> products, finding that increased cigarette taxes reduced cigarette use but resulted in a </w:t>
      </w:r>
      <w:r w:rsidR="004650DB">
        <w:rPr>
          <w:rFonts w:ascii="Times New Roman" w:eastAsia="Times New Roman" w:hAnsi="Times New Roman" w:cs="Times New Roman"/>
          <w:sz w:val="24"/>
          <w:szCs w:val="24"/>
        </w:rPr>
        <w:lastRenderedPageBreak/>
        <w:t>substitution towards use of ENDS products, while increased ENDS taxes reduced ENDS use but resulted in a substitution towards use of cigarettes.</w:t>
      </w:r>
      <w:r w:rsidR="00687C4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4650DB">
        <w:rPr>
          <w:rFonts w:ascii="Times New Roman" w:eastAsia="Times New Roman" w:hAnsi="Times New Roman" w:cs="Times New Roman"/>
          <w:sz w:val="24"/>
          <w:szCs w:val="24"/>
        </w:rPr>
        <w:t>hen analyzing a sample of individuals 18-25 years old and comparing results to a sample of individuals 18-40 years old, the size of the effects estimated for the young adults w</w:t>
      </w:r>
      <w:r w:rsidR="00BE0924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4650DB">
        <w:rPr>
          <w:rFonts w:ascii="Times New Roman" w:eastAsia="Times New Roman" w:hAnsi="Times New Roman" w:cs="Times New Roman"/>
          <w:sz w:val="24"/>
          <w:szCs w:val="24"/>
        </w:rPr>
        <w:t xml:space="preserve"> roughly three times larger, underscoring the power of tax policy in changing behavior as well as the habit-forming preference for different nicotine delivery systems </w:t>
      </w:r>
      <w:r w:rsidR="00687C42">
        <w:rPr>
          <w:rFonts w:ascii="Times New Roman" w:eastAsia="Times New Roman" w:hAnsi="Times New Roman" w:cs="Times New Roman"/>
          <w:sz w:val="24"/>
          <w:szCs w:val="24"/>
        </w:rPr>
        <w:t>for young adults</w:t>
      </w:r>
      <w:r w:rsidR="004650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638AC7" w14:textId="5BFFB592" w:rsidR="00AF2C86" w:rsidRPr="002E61B7" w:rsidRDefault="00AF2C86" w:rsidP="002E61B7">
      <w:pPr>
        <w:spacing w:after="0" w:line="367" w:lineRule="auto"/>
        <w:ind w:left="100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Speaking about their findings, the authors note “</w:t>
      </w:r>
      <w:r w:rsidRPr="005A639E">
        <w:rPr>
          <w:rFonts w:ascii="Times New Roman" w:eastAsia="Times New Roman" w:hAnsi="Times New Roman" w:cs="Times New Roman"/>
          <w:sz w:val="24"/>
          <w:szCs w:val="24"/>
        </w:rPr>
        <w:t>our findings suggest a need for nuance in ENDS policymaking. Specifically, while higher ENDS taxes risk incentivizing young adult smoking, this can perhaps be offset with a sufficiently large cigarette tax increase. Similarly, cigarette tax increases alone may increase ENDS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39E">
        <w:rPr>
          <w:rFonts w:ascii="Times New Roman" w:eastAsia="Times New Roman" w:hAnsi="Times New Roman" w:cs="Times New Roman"/>
          <w:sz w:val="24"/>
          <w:szCs w:val="24"/>
        </w:rPr>
        <w:t>in this age-group, which is not necessarily a bad outcome if that increase stems from people who would otherwise smoke.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17CD2AA" w14:textId="77777777" w:rsidR="000C5DC4" w:rsidRDefault="000C5DC4" w:rsidP="00841EC0">
      <w:pPr>
        <w:spacing w:line="480" w:lineRule="auto"/>
        <w:ind w:firstLine="360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85C21D2" w14:textId="218A2BD7" w:rsidR="00841EC0" w:rsidRDefault="00841EC0" w:rsidP="001A4763">
      <w:pPr>
        <w:spacing w:after="0" w:line="367" w:lineRule="auto"/>
        <w:rPr>
          <w:sz w:val="24"/>
          <w:szCs w:val="24"/>
        </w:rPr>
      </w:pPr>
    </w:p>
    <w:p w14:paraId="495E0739" w14:textId="147D6ABA" w:rsidR="007A4676" w:rsidRDefault="007A4676" w:rsidP="004650DB">
      <w:pPr>
        <w:spacing w:after="0" w:line="36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C09392" w14:textId="77777777" w:rsidR="00841EC0" w:rsidRPr="009A56A9" w:rsidRDefault="00841EC0" w:rsidP="001A4763">
      <w:pPr>
        <w:spacing w:after="0" w:line="367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41EC0" w:rsidRPr="009A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4D64"/>
    <w:multiLevelType w:val="hybridMultilevel"/>
    <w:tmpl w:val="6E52CD96"/>
    <w:lvl w:ilvl="0" w:tplc="7CB80A4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138D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2B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65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A6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C9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8B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F8A046"/>
    <w:rsid w:val="000C5DC4"/>
    <w:rsid w:val="001264E3"/>
    <w:rsid w:val="001A4763"/>
    <w:rsid w:val="002407F6"/>
    <w:rsid w:val="002E61B7"/>
    <w:rsid w:val="002F5180"/>
    <w:rsid w:val="00457F37"/>
    <w:rsid w:val="004650DB"/>
    <w:rsid w:val="004B2FF3"/>
    <w:rsid w:val="005A639E"/>
    <w:rsid w:val="005C41BA"/>
    <w:rsid w:val="00687C42"/>
    <w:rsid w:val="0069722B"/>
    <w:rsid w:val="006A1432"/>
    <w:rsid w:val="00791B71"/>
    <w:rsid w:val="007A4676"/>
    <w:rsid w:val="007D46F8"/>
    <w:rsid w:val="007E451A"/>
    <w:rsid w:val="00841EC0"/>
    <w:rsid w:val="00892DF1"/>
    <w:rsid w:val="009A56A9"/>
    <w:rsid w:val="009C5D7D"/>
    <w:rsid w:val="00A53A63"/>
    <w:rsid w:val="00AF2C86"/>
    <w:rsid w:val="00B257EF"/>
    <w:rsid w:val="00BA075A"/>
    <w:rsid w:val="00BE0924"/>
    <w:rsid w:val="00BE1B64"/>
    <w:rsid w:val="00BF4075"/>
    <w:rsid w:val="00C81D5B"/>
    <w:rsid w:val="00D82B9F"/>
    <w:rsid w:val="00DC548B"/>
    <w:rsid w:val="00DE24A2"/>
    <w:rsid w:val="022E7543"/>
    <w:rsid w:val="04E77306"/>
    <w:rsid w:val="08D9DAA7"/>
    <w:rsid w:val="0EDB4AEC"/>
    <w:rsid w:val="1CF76DDE"/>
    <w:rsid w:val="1D96A4EB"/>
    <w:rsid w:val="202F0EA0"/>
    <w:rsid w:val="2630367C"/>
    <w:rsid w:val="2AAC4B65"/>
    <w:rsid w:val="2AB4134D"/>
    <w:rsid w:val="36267595"/>
    <w:rsid w:val="378F0E84"/>
    <w:rsid w:val="3855F52B"/>
    <w:rsid w:val="39B59AA3"/>
    <w:rsid w:val="3C627FA7"/>
    <w:rsid w:val="3E887A8D"/>
    <w:rsid w:val="3F9A43E9"/>
    <w:rsid w:val="435D8590"/>
    <w:rsid w:val="45E97861"/>
    <w:rsid w:val="4986A084"/>
    <w:rsid w:val="4A4033C3"/>
    <w:rsid w:val="4DA77683"/>
    <w:rsid w:val="4FB831B9"/>
    <w:rsid w:val="54090B69"/>
    <w:rsid w:val="55D4F3B8"/>
    <w:rsid w:val="58C51A94"/>
    <w:rsid w:val="58D92AE0"/>
    <w:rsid w:val="5CF8A046"/>
    <w:rsid w:val="5EF1BFB9"/>
    <w:rsid w:val="613E1C24"/>
    <w:rsid w:val="63B0B012"/>
    <w:rsid w:val="666836A9"/>
    <w:rsid w:val="66CB2BFB"/>
    <w:rsid w:val="688484C2"/>
    <w:rsid w:val="6E76B809"/>
    <w:rsid w:val="711EDA21"/>
    <w:rsid w:val="7AD908EA"/>
    <w:rsid w:val="7B497A64"/>
    <w:rsid w:val="7DD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A046"/>
  <w15:chartTrackingRefBased/>
  <w15:docId w15:val="{F6CFD15F-E968-4F27-A23E-F38A9864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B9F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87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D818-BFBA-47A3-B445-88557BFF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McGlothlin, Alexander</dc:creator>
  <cp:keywords/>
  <dc:description/>
  <cp:lastModifiedBy>Roessler, Erin M.</cp:lastModifiedBy>
  <cp:revision>2</cp:revision>
  <dcterms:created xsi:type="dcterms:W3CDTF">2022-08-02T20:39:00Z</dcterms:created>
  <dcterms:modified xsi:type="dcterms:W3CDTF">2022-08-02T20:39:00Z</dcterms:modified>
</cp:coreProperties>
</file>